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FE0" w:rsidRPr="00042FE0" w:rsidRDefault="00042FE0">
      <w:pPr>
        <w:rPr>
          <w:rFonts w:ascii="Times New Roman" w:hAnsi="Times New Roman"/>
          <w:sz w:val="22"/>
        </w:rPr>
      </w:pPr>
      <w:r w:rsidRPr="00042FE0">
        <w:rPr>
          <w:rFonts w:ascii="Times New Roman" w:hAnsi="Times New Roman"/>
          <w:sz w:val="22"/>
        </w:rPr>
        <w:t>Appendix A – WHO Trial Registration Dataset</w:t>
      </w:r>
    </w:p>
    <w:tbl>
      <w:tblPr>
        <w:tblW w:w="9266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85" w:type="dxa"/>
          <w:right w:w="57" w:type="dxa"/>
        </w:tblCellMar>
        <w:tblLook w:val="0400" w:firstRow="0" w:lastRow="0" w:firstColumn="0" w:lastColumn="0" w:noHBand="0" w:noVBand="1"/>
      </w:tblPr>
      <w:tblGrid>
        <w:gridCol w:w="3312"/>
        <w:gridCol w:w="5954"/>
      </w:tblGrid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9F1A"/>
          </w:tcPr>
          <w:p w:rsidR="00042FE0" w:rsidRPr="00042FE0" w:rsidRDefault="00042FE0" w:rsidP="00B567F8">
            <w:pPr>
              <w:pStyle w:val="BodyCopy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Data Category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9F1A"/>
          </w:tcPr>
          <w:p w:rsidR="00042FE0" w:rsidRPr="00042FE0" w:rsidRDefault="00042FE0" w:rsidP="00B567F8">
            <w:pPr>
              <w:pStyle w:val="BodyCopy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Information</w:t>
            </w:r>
          </w:p>
        </w:tc>
      </w:tr>
      <w:tr w:rsidR="00042FE0" w:rsidRPr="00042FE0" w:rsidTr="00B567F8">
        <w:trPr>
          <w:trHeight w:val="50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Primary registry and trial identifying number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Intended registry: Australian New Zealand Clinical Trials Registry. ACTRN12619000855123</w:t>
            </w:r>
          </w:p>
        </w:tc>
      </w:tr>
      <w:tr w:rsidR="00042FE0" w:rsidRPr="00042FE0" w:rsidTr="00B567F8">
        <w:trPr>
          <w:trHeight w:val="50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Date of registration in primary registry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  <w:r w:rsidRPr="00042FE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 June 2019</w:t>
            </w:r>
          </w:p>
        </w:tc>
      </w:tr>
      <w:tr w:rsidR="00042FE0" w:rsidRPr="00042FE0" w:rsidTr="00B567F8">
        <w:trPr>
          <w:trHeight w:val="68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Secondary identifying numbers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Funding Body (NHMRC): GNT1138405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Ethics Committee (UNSW): HC180836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Clinical Trial Notification Scheme (CTN): CT-2019-CTN-02110-1-v1</w:t>
            </w:r>
          </w:p>
        </w:tc>
      </w:tr>
      <w:tr w:rsidR="00042FE0" w:rsidRPr="00042FE0" w:rsidTr="00B567F8">
        <w:trPr>
          <w:trHeight w:val="8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Source(s) of monetary or material support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National Health and Medical Research Council (NHMRC) Australia 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42FE0" w:rsidRPr="00042FE0" w:rsidTr="00B567F8">
        <w:trPr>
          <w:trHeight w:val="62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Primary sponsor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University of New South Wales (UNSW, Sydney)</w:t>
            </w:r>
          </w:p>
        </w:tc>
      </w:tr>
      <w:tr w:rsidR="00042FE0" w:rsidRPr="00042FE0" w:rsidTr="00B567F8">
        <w:trPr>
          <w:trHeight w:val="76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Secondary sponsor(s)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042FE0" w:rsidRPr="00042FE0" w:rsidTr="00B567F8">
        <w:trPr>
          <w:trHeight w:val="68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Trial coordinating centre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Black Dog Institute, Hospital Road, Randwick, NSW, 2031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Contact for public queries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Dr Aliza Werner-Seidler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hyperlink r:id="rId5" w:history="1">
              <w:r w:rsidRPr="00042FE0">
                <w:rPr>
                  <w:rStyle w:val="Hyperlink"/>
                  <w:rFonts w:ascii="Times New Roman" w:hAnsi="Times New Roman" w:cs="Times New Roman"/>
                  <w:sz w:val="22"/>
                  <w:szCs w:val="22"/>
                </w:rPr>
                <w:t>a.werner-seidler@blackdog.org.au</w:t>
              </w:r>
            </w:hyperlink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042FE0" w:rsidRPr="00042FE0" w:rsidTr="00B567F8">
        <w:trPr>
          <w:trHeight w:val="68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Contact for scientific queries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Professor Helen Christensen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hyperlink r:id="rId6" w:history="1">
              <w:r w:rsidRPr="00042FE0">
                <w:rPr>
                  <w:rStyle w:val="Hyperlink"/>
                  <w:rFonts w:ascii="Times New Roman" w:hAnsi="Times New Roman" w:cs="Times New Roman"/>
                  <w:sz w:val="22"/>
                  <w:szCs w:val="22"/>
                </w:rPr>
                <w:t>h.christensen@blackdog.org.au</w:t>
              </w:r>
            </w:hyperlink>
          </w:p>
        </w:tc>
      </w:tr>
      <w:tr w:rsidR="00042FE0" w:rsidRPr="00042FE0" w:rsidTr="00B567F8">
        <w:trPr>
          <w:trHeight w:val="68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Public title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The Future Proofing Study </w:t>
            </w:r>
          </w:p>
        </w:tc>
      </w:tr>
      <w:tr w:rsidR="00042FE0" w:rsidRPr="00042FE0" w:rsidTr="00B567F8">
        <w:trPr>
          <w:trHeight w:val="68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Scientific title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A Cluster-Randomised, Two-Arm Parallel-Group, Superiority Trial of the Effectiveness of Digital Interventions for Preventing Depression in Adolescents: The Future Proofing Study</w:t>
            </w:r>
          </w:p>
        </w:tc>
      </w:tr>
      <w:tr w:rsidR="00042FE0" w:rsidRPr="00042FE0" w:rsidTr="00B567F8">
        <w:trPr>
          <w:trHeight w:val="68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Countries of recruitment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Australia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Health condition(s) or problem(s) studied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Depression, anxiety, suicidality, insomnia and mental illness 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Intervention(s)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Intervention Stage I: SPARX-FP, a mobile application based on Cognitive Behaviour Therapy (CBT) designed to prevent depression in young people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Intervention Stage II: Sleep Ninja, a mobile application based on CBT for Insomnia (CBT-I) designed to assist with sleep problems in young people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Control: No intervention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Key inclusion and exclusion criteria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Inclusion: Year 8 students at a consenting school, owns their own smartphone (Android or iOS operating systems only), with parent or guardian consent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No exclusion criteria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Study type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Type of study: Interventional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Study design: </w:t>
            </w:r>
          </w:p>
          <w:p w:rsidR="00042FE0" w:rsidRPr="00042FE0" w:rsidRDefault="00042FE0" w:rsidP="00B567F8">
            <w:pPr>
              <w:pStyle w:val="TableCopy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Method of allocation: Cluster-randomised at school level (Stage I) and randomisation at the individual level (Stage II)</w:t>
            </w:r>
          </w:p>
          <w:p w:rsidR="00042FE0" w:rsidRPr="00042FE0" w:rsidRDefault="00042FE0" w:rsidP="00B567F8">
            <w:pPr>
              <w:pStyle w:val="TableCopy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Masking: Single-blinded (outcome assessor)</w:t>
            </w:r>
          </w:p>
          <w:p w:rsidR="00042FE0" w:rsidRPr="00042FE0" w:rsidRDefault="00042FE0" w:rsidP="00B567F8">
            <w:pPr>
              <w:pStyle w:val="TableCopy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Assignment: Parallel (two arm)</w:t>
            </w:r>
          </w:p>
          <w:p w:rsidR="00042FE0" w:rsidRPr="00042FE0" w:rsidRDefault="00042FE0" w:rsidP="00B567F8">
            <w:pPr>
              <w:pStyle w:val="TableCopy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Purpose: Prevention of depression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Stage: III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Date of first enrolment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May 2019 (School Term 2)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Target sample size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20,000 students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Recruitment status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Recruitment commenced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on 24</w:t>
            </w:r>
            <w:r w:rsidRPr="00042FE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July 2019</w:t>
            </w:r>
            <w:bookmarkStart w:id="0" w:name="_GoBack"/>
            <w:bookmarkEnd w:id="0"/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Primary outcome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Depression (symptoms)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Method of measurement: Patient Health Questionnaire – Adolescent Version (PHQ-A)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Primary endpoint: 12 months after baseline</w:t>
            </w:r>
          </w:p>
        </w:tc>
      </w:tr>
      <w:tr w:rsidR="00042FE0" w:rsidRPr="00042FE0" w:rsidTr="00B567F8">
        <w:trPr>
          <w:trHeight w:val="240"/>
        </w:trPr>
        <w:tc>
          <w:tcPr>
            <w:tcW w:w="331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Key secondary outcomes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Depression (symptoms)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Method of measurement: PHQ-A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Timepoints of interest: 6-weeks post intervention at Stages I and II, and at 6, 24, 36, 48, and 60-month follow-up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Depression (cases)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Method of measurement: PHQ-A, </w:t>
            </w:r>
            <w:proofErr w:type="spellStart"/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caseness</w:t>
            </w:r>
            <w:proofErr w:type="spellEnd"/>
            <w:r w:rsidRPr="00042FE0">
              <w:rPr>
                <w:rFonts w:ascii="Times New Roman" w:hAnsi="Times New Roman" w:cs="Times New Roman"/>
                <w:sz w:val="22"/>
                <w:szCs w:val="22"/>
              </w:rPr>
              <w:t xml:space="preserve"> cut-offs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Timepoints of interest: 12, 24, 36, 48, and 60-month follow-up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Psychological Distress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Method of measurement: Distress Questionnaire 5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Timepoints of interest: 6-weeks post intervention at Stages I and II, and at 6, 24, 36, 48, and 60-month follow-up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Anxiety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Method of measurement: Spence Children’s Anxiety Scale including Generalised Anxiety and Social Phobia subscales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Timepoints of interest: 6-weeks post intervention at Stages I and II, and at 6, 24, 36, 48, and 60-month follow-up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Insomnia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Method of measurement: Insomnia Severity Index</w:t>
            </w:r>
          </w:p>
          <w:p w:rsidR="00042FE0" w:rsidRPr="00042FE0" w:rsidRDefault="00042FE0" w:rsidP="00B567F8">
            <w:pPr>
              <w:pStyle w:val="TableCopy"/>
              <w:rPr>
                <w:rFonts w:ascii="Times New Roman" w:hAnsi="Times New Roman" w:cs="Times New Roman"/>
                <w:sz w:val="22"/>
                <w:szCs w:val="22"/>
              </w:rPr>
            </w:pPr>
            <w:r w:rsidRPr="00042FE0">
              <w:rPr>
                <w:rFonts w:ascii="Times New Roman" w:hAnsi="Times New Roman" w:cs="Times New Roman"/>
                <w:sz w:val="22"/>
                <w:szCs w:val="22"/>
              </w:rPr>
              <w:t>Timepoints of interest: 6-weeks post intervention at Stages I and II, and at 6, 24, 36, 48, and 60-month follow-up</w:t>
            </w:r>
          </w:p>
        </w:tc>
      </w:tr>
    </w:tbl>
    <w:p w:rsidR="00042FE0" w:rsidRPr="00042FE0" w:rsidRDefault="00042FE0">
      <w:pPr>
        <w:rPr>
          <w:rFonts w:ascii="Times New Roman" w:hAnsi="Times New Roman"/>
          <w:sz w:val="22"/>
        </w:rPr>
      </w:pPr>
    </w:p>
    <w:sectPr w:rsidR="00042FE0" w:rsidRPr="00042F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 Regular">
    <w:altName w:val="Calibri"/>
    <w:panose1 w:val="020F05020202040302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B3B00"/>
    <w:multiLevelType w:val="hybridMultilevel"/>
    <w:tmpl w:val="1088A9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FE0"/>
    <w:rsid w:val="00042FE0"/>
    <w:rsid w:val="00B7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A5938"/>
  <w15:chartTrackingRefBased/>
  <w15:docId w15:val="{0B72F26A-19B7-49D3-8173-60BB9C5A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FE0"/>
    <w:pPr>
      <w:spacing w:after="240" w:line="276" w:lineRule="auto"/>
      <w:jc w:val="both"/>
    </w:pPr>
    <w:rPr>
      <w:rFonts w:ascii="Lato Regular" w:hAnsi="Lato Regular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2FE0"/>
    <w:rPr>
      <w:color w:val="0563C1" w:themeColor="hyperlink"/>
      <w:u w:val="single"/>
    </w:rPr>
  </w:style>
  <w:style w:type="paragraph" w:customStyle="1" w:styleId="BodyCopy">
    <w:name w:val="Body Copy"/>
    <w:rsid w:val="00042FE0"/>
    <w:pPr>
      <w:widowControl w:val="0"/>
      <w:spacing w:after="240" w:line="276" w:lineRule="auto"/>
      <w:ind w:right="391"/>
    </w:pPr>
    <w:rPr>
      <w:rFonts w:ascii="Lato Regular" w:eastAsia="Arial" w:hAnsi="Lato Regular" w:cs="Arial"/>
      <w:color w:val="31261D"/>
      <w:sz w:val="20"/>
      <w:szCs w:val="20"/>
    </w:rPr>
  </w:style>
  <w:style w:type="paragraph" w:customStyle="1" w:styleId="TableCopy">
    <w:name w:val="Table Copy"/>
    <w:basedOn w:val="BodyCopy"/>
    <w:qFormat/>
    <w:rsid w:val="00042FE0"/>
    <w:pPr>
      <w:spacing w:before="120" w:after="120" w:line="240" w:lineRule="auto"/>
      <w:ind w:right="425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.christensen@blackdog.org.au" TargetMode="External"/><Relationship Id="rId5" Type="http://schemas.openxmlformats.org/officeDocument/2006/relationships/hyperlink" Target="mailto:a.werner-seidler@blackdog.org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UNSW Sydney</Company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Aliza Werner-Seidler</dc:creator>
  <cp:keywords/>
  <dc:description/>
  <cp:lastModifiedBy>Aliza Werner-Seidler</cp:lastModifiedBy>
  <cp:revision>1</cp:revision>
  <dcterms:created xsi:type="dcterms:W3CDTF">2019-08-23T03:37:00Z</dcterms:created>
  <dcterms:modified xsi:type="dcterms:W3CDTF">2019-08-23T03:41:00Z</dcterms:modified>
</cp:coreProperties>
</file>